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35DE22" w14:textId="77777777" w:rsidR="00AC2BDB" w:rsidRDefault="00265A8C">
      <w:pPr>
        <w:pStyle w:val="Ttulo2"/>
        <w:pageBreakBefore/>
        <w:spacing w:line="48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>Memoria Anual de Medidas Adoptadas en 2014</w:t>
      </w:r>
    </w:p>
    <w:p w14:paraId="28979D4A" w14:textId="77777777" w:rsidR="00AC2BDB" w:rsidRDefault="00AC2BDB">
      <w:pPr>
        <w:spacing w:line="480" w:lineRule="auto"/>
        <w:jc w:val="both"/>
        <w:rPr>
          <w:rFonts w:ascii="Cambria" w:hAnsi="Cambria"/>
          <w:b/>
          <w:i/>
          <w:color w:val="4F81BD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1432"/>
        <w:gridCol w:w="1656"/>
        <w:gridCol w:w="920"/>
        <w:gridCol w:w="1641"/>
      </w:tblGrid>
      <w:tr w:rsidR="00AC2BDB" w14:paraId="2CB1CA59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</w:tcBorders>
            <w:shd w:val="clear" w:color="auto" w:fill="4BACC6"/>
          </w:tcPr>
          <w:p w14:paraId="5B79D8A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Nombre del Hospital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14:paraId="6C7A58E9" w14:textId="033824CC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HOSPITAL GALDAKAO-USANSOLO</w:t>
            </w:r>
          </w:p>
        </w:tc>
      </w:tr>
      <w:tr w:rsidR="00AC2BDB" w14:paraId="1D40BF89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3BAC7ACB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Localidad 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2EF9C01" w14:textId="1BE866B3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Galdakao (Vizcaya)</w:t>
            </w:r>
          </w:p>
        </w:tc>
      </w:tr>
      <w:tr w:rsidR="00AC2BDB" w14:paraId="20BE0CEF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5800B732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Fecha: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2E80DD7F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 2015</w:t>
            </w:r>
          </w:p>
        </w:tc>
      </w:tr>
      <w:tr w:rsidR="00AC2BDB" w14:paraId="04FBC12D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3602DE5A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Coordinador Local 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2718FF02" w14:textId="41A6B77D" w:rsidR="00AC2BDB" w:rsidRDefault="00265A8C" w:rsidP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</w:t>
            </w:r>
            <w:r w:rsidR="00BF3357">
              <w:rPr>
                <w:rFonts w:ascii="Cambria" w:hAnsi="Cambria"/>
              </w:rPr>
              <w:t>. Javier Aguirre Aras</w:t>
            </w:r>
          </w:p>
        </w:tc>
      </w:tr>
      <w:tr w:rsidR="00AC2BDB" w14:paraId="21B15CB9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492E9FD5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Responsable ejecutivo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1CB688F8" w14:textId="264F1B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</w:t>
            </w:r>
            <w:r w:rsidR="00BF3357">
              <w:rPr>
                <w:rFonts w:ascii="Cambria" w:hAnsi="Cambria"/>
              </w:rPr>
              <w:t>. Antón Arizaga Maguregui (Jefe de Servicio de Anestesiología, Reanimación y Terapia del Dolor) y Dña. Rosa Sainz (Supervisora de Enfermería de Anestesiología y Reanimación)</w:t>
            </w:r>
          </w:p>
        </w:tc>
      </w:tr>
      <w:tr w:rsidR="00AC2BDB" w14:paraId="0B8F633C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2C3EFBC0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Analizadores</w:t>
            </w:r>
          </w:p>
          <w:p w14:paraId="074CC6BA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2770761C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206FCDEA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C3B5741" w14:textId="39021F0F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Dra. Aitziber Etxebarria, Dr. Karmelo Intxaurraga, Dr. Javier Aguirre Aras, Dra. Isabel Casado Campo, Dra. Susana Postigo Morales y Dña. Olatz Intxaurbe (DUE Reanimación)</w:t>
            </w:r>
          </w:p>
        </w:tc>
      </w:tr>
      <w:tr w:rsidR="00AC2BDB" w14:paraId="349C9FA6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16DEA9C6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Nº de incidentes comunicados: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7723D483" w14:textId="1FFA2A06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AC2BDB" w14:paraId="48E8C9D4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77A57918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Nº de análisis: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22238D19" w14:textId="1AF0D764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AC2BDB" w14:paraId="580BDF4F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2593AA60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Nº de incidentes compartidos: 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2CFBEEFB" w14:textId="6E4A5B0A" w:rsidR="00AC2BDB" w:rsidRDefault="00BF3357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AC2BDB" w14:paraId="1F5B448F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5A82C884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Dimensión del hospital </w:t>
            </w:r>
          </w:p>
          <w:p w14:paraId="66536297" w14:textId="77777777" w:rsidR="00AC2BDB" w:rsidRDefault="00265A8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 camas</w:t>
            </w:r>
          </w:p>
          <w:p w14:paraId="27FA379D" w14:textId="77777777" w:rsidR="00AC2BDB" w:rsidRDefault="00AC2BDB">
            <w:pPr>
              <w:pStyle w:val="Prrafodelista"/>
              <w:spacing w:line="276" w:lineRule="auto"/>
              <w:jc w:val="both"/>
              <w:rPr>
                <w:b/>
                <w:bCs/>
              </w:rPr>
            </w:pPr>
          </w:p>
          <w:p w14:paraId="45344612" w14:textId="77777777" w:rsidR="00AC2BDB" w:rsidRDefault="00265A8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 de cirugías</w:t>
            </w:r>
          </w:p>
          <w:p w14:paraId="0170F7AF" w14:textId="77777777" w:rsidR="00AC2BDB" w:rsidRDefault="00AC2BDB">
            <w:pPr>
              <w:pStyle w:val="Prrafodelista"/>
              <w:spacing w:line="276" w:lineRule="auto"/>
              <w:ind w:left="0"/>
              <w:jc w:val="both"/>
              <w:rPr>
                <w:b/>
                <w:bCs/>
              </w:rPr>
            </w:pPr>
          </w:p>
          <w:p w14:paraId="65DAB190" w14:textId="77777777" w:rsidR="00AC2BDB" w:rsidRDefault="00265A8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 camas UCI/Rea</w:t>
            </w:r>
          </w:p>
          <w:p w14:paraId="11DADBF9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435ABA9" w14:textId="77777777" w:rsidR="00AC2BDB" w:rsidRDefault="00AC2BDB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  <w:p w14:paraId="6A0741D1" w14:textId="3355A0CC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</w:t>
            </w:r>
          </w:p>
          <w:p w14:paraId="3374DD72" w14:textId="77777777" w:rsidR="00AC2BDB" w:rsidRDefault="00AC2BDB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  <w:p w14:paraId="76E50C96" w14:textId="23FB10AC" w:rsidR="00AC2BDB" w:rsidRDefault="00CC0670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12.195 (sin incluir la actividad fuera de quirófano no las tecnicas de la Unidad del Dolor)</w:t>
            </w:r>
          </w:p>
          <w:p w14:paraId="4C20BF64" w14:textId="0AF0832A" w:rsidR="00F9279E" w:rsidRDefault="00F9279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BF3357">
              <w:rPr>
                <w:rFonts w:ascii="Cambria" w:hAnsi="Cambria"/>
              </w:rPr>
              <w:t xml:space="preserve"> </w:t>
            </w:r>
            <w:r w:rsidR="00CC0670">
              <w:rPr>
                <w:rFonts w:ascii="Cambria" w:hAnsi="Cambria"/>
              </w:rPr>
              <w:t xml:space="preserve">camas de </w:t>
            </w:r>
            <w:r w:rsidR="00BF3357">
              <w:rPr>
                <w:rFonts w:ascii="Cambria" w:hAnsi="Cambria"/>
              </w:rPr>
              <w:t>REA</w:t>
            </w:r>
            <w:r>
              <w:rPr>
                <w:rFonts w:ascii="Cambria" w:hAnsi="Cambria"/>
              </w:rPr>
              <w:t>, 18 camas de URPA</w:t>
            </w:r>
          </w:p>
        </w:tc>
      </w:tr>
      <w:tr w:rsidR="00AC2BDB" w14:paraId="4F5F9043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0B61E4A4" w14:textId="23F91640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Nº comunicadores potenciales (estimado)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458D0E04" w14:textId="6EFDB791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Anestesiólogos, 3 enfermeras de anestesia y 7 enfermeras de Reanimación</w:t>
            </w:r>
          </w:p>
        </w:tc>
      </w:tr>
      <w:tr w:rsidR="00AC2BDB" w14:paraId="1CDECF3F" w14:textId="77777777">
        <w:trPr>
          <w:trHeight w:val="380"/>
        </w:trPr>
        <w:tc>
          <w:tcPr>
            <w:tcW w:w="3085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202E27E5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Severidad de la Lesión</w:t>
            </w:r>
          </w:p>
        </w:tc>
        <w:tc>
          <w:tcPr>
            <w:tcW w:w="3088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25BD2F98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Severidad de  Lesión</w:t>
            </w:r>
          </w:p>
        </w:tc>
        <w:tc>
          <w:tcPr>
            <w:tcW w:w="2561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5D7A4EC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Número</w:t>
            </w:r>
          </w:p>
        </w:tc>
      </w:tr>
      <w:tr w:rsidR="00AC2BDB" w14:paraId="1EC9DFCB" w14:textId="77777777">
        <w:trPr>
          <w:trHeight w:val="376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2AC171BD" w14:textId="77777777" w:rsidR="00AC2BDB" w:rsidRDefault="00AC2BDB"/>
        </w:tc>
        <w:tc>
          <w:tcPr>
            <w:tcW w:w="3088" w:type="dxa"/>
            <w:gridSpan w:val="2"/>
          </w:tcPr>
          <w:p w14:paraId="5A352EEF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Nada</w:t>
            </w:r>
          </w:p>
        </w:tc>
        <w:tc>
          <w:tcPr>
            <w:tcW w:w="2561" w:type="dxa"/>
            <w:gridSpan w:val="2"/>
            <w:tcBorders>
              <w:right w:val="single" w:sz="8" w:space="0" w:color="00FFFF"/>
            </w:tcBorders>
          </w:tcPr>
          <w:p w14:paraId="45566768" w14:textId="0AB8688A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 (de ellas 2 son NS/NC)</w:t>
            </w:r>
          </w:p>
        </w:tc>
      </w:tr>
      <w:tr w:rsidR="00AC2BDB" w14:paraId="4ECFD00B" w14:textId="77777777">
        <w:trPr>
          <w:trHeight w:val="376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419B2E83" w14:textId="77777777" w:rsidR="00AC2BDB" w:rsidRDefault="00AC2BDB"/>
        </w:tc>
        <w:tc>
          <w:tcPr>
            <w:tcW w:w="3088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7954212B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Morbilidad Menor</w:t>
            </w:r>
          </w:p>
        </w:tc>
        <w:tc>
          <w:tcPr>
            <w:tcW w:w="2561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2B8956B3" w14:textId="023E1CB0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AC2BDB" w14:paraId="756531D6" w14:textId="77777777">
        <w:trPr>
          <w:trHeight w:val="376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156D069F" w14:textId="77777777" w:rsidR="00AC2BDB" w:rsidRDefault="00AC2BDB"/>
        </w:tc>
        <w:tc>
          <w:tcPr>
            <w:tcW w:w="3088" w:type="dxa"/>
            <w:gridSpan w:val="2"/>
          </w:tcPr>
          <w:p w14:paraId="12A3C653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Morbilidad Intermedia</w:t>
            </w:r>
          </w:p>
        </w:tc>
        <w:tc>
          <w:tcPr>
            <w:tcW w:w="2561" w:type="dxa"/>
            <w:gridSpan w:val="2"/>
            <w:tcBorders>
              <w:right w:val="single" w:sz="8" w:space="0" w:color="00FFFF"/>
            </w:tcBorders>
          </w:tcPr>
          <w:p w14:paraId="2FFC1959" w14:textId="46FAF266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C2BDB" w14:paraId="643D6E6B" w14:textId="77777777">
        <w:trPr>
          <w:trHeight w:val="376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4635DC06" w14:textId="77777777" w:rsidR="00AC2BDB" w:rsidRDefault="00AC2BDB"/>
        </w:tc>
        <w:tc>
          <w:tcPr>
            <w:tcW w:w="3088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1B46A0A2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Morbilidad Mayor</w:t>
            </w:r>
          </w:p>
        </w:tc>
        <w:tc>
          <w:tcPr>
            <w:tcW w:w="2561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F8D2124" w14:textId="2CEC5879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C2BDB" w14:paraId="0B111D76" w14:textId="77777777">
        <w:trPr>
          <w:trHeight w:val="376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23C1E0F4" w14:textId="77777777" w:rsidR="00AC2BDB" w:rsidRDefault="00AC2BDB"/>
        </w:tc>
        <w:tc>
          <w:tcPr>
            <w:tcW w:w="3088" w:type="dxa"/>
            <w:gridSpan w:val="2"/>
          </w:tcPr>
          <w:p w14:paraId="5FDFC190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Muerte</w:t>
            </w:r>
          </w:p>
        </w:tc>
        <w:tc>
          <w:tcPr>
            <w:tcW w:w="2561" w:type="dxa"/>
            <w:gridSpan w:val="2"/>
            <w:tcBorders>
              <w:right w:val="single" w:sz="8" w:space="0" w:color="00FFFF"/>
            </w:tcBorders>
          </w:tcPr>
          <w:p w14:paraId="261191BF" w14:textId="74F35BEC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AC2BDB" w14:paraId="2B4DA303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2AA3FFE0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Reuniones de analizadores (Regular/irregular)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FCB7C9D" w14:textId="77777777" w:rsidR="00AC2BDB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Los analizadores nos reunimos una vez al mes de forma regular.</w:t>
            </w:r>
          </w:p>
          <w:p w14:paraId="1A3C9979" w14:textId="77777777" w:rsidR="009D111F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 una reunión trimestral con el resto del servicio</w:t>
            </w:r>
          </w:p>
          <w:p w14:paraId="06135A87" w14:textId="77777777" w:rsidR="009D111F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 hay alguna alerta inmediata, se realizan reuniones </w:t>
            </w:r>
            <w:r>
              <w:rPr>
                <w:rFonts w:ascii="Cambria" w:hAnsi="Cambria"/>
              </w:rPr>
              <w:lastRenderedPageBreak/>
              <w:t>extraordinarias.</w:t>
            </w:r>
          </w:p>
          <w:p w14:paraId="709BFD34" w14:textId="0C9C10AD" w:rsidR="009D111F" w:rsidRDefault="009D111F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 contacto frecuente en el grupo para comentar temas de seguridad.</w:t>
            </w:r>
          </w:p>
        </w:tc>
      </w:tr>
      <w:tr w:rsidR="00AC2BDB" w14:paraId="717B7BBA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5C736BF3" w14:textId="2F8496DB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Tiempo medio comunicación-inicio análisis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53013C84" w14:textId="1CB665A6" w:rsidR="00AC2BDB" w:rsidRDefault="009D111F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torno a 10 días, excepto en el caso de po</w:t>
            </w:r>
            <w:r w:rsidR="00180651">
              <w:rPr>
                <w:rFonts w:ascii="Cambria" w:hAnsi="Cambria"/>
              </w:rPr>
              <w:t>sible alerta en el que el análisis es inmediato.</w:t>
            </w:r>
          </w:p>
        </w:tc>
      </w:tr>
      <w:tr w:rsidR="00AC2BDB" w14:paraId="56884A89" w14:textId="77777777">
        <w:trPr>
          <w:trHeight w:val="388"/>
        </w:trPr>
        <w:tc>
          <w:tcPr>
            <w:tcW w:w="3085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29467E5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Nº medidas propuestas</w:t>
            </w:r>
          </w:p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106A8FE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Código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63203E47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702190F" w14:textId="77777777" w:rsidR="00AC2BDB" w:rsidRDefault="00265A8C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Número</w:t>
            </w:r>
          </w:p>
        </w:tc>
      </w:tr>
      <w:tr w:rsidR="00AC2BDB" w14:paraId="5A51AF3D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45A04DCC" w14:textId="77777777" w:rsidR="00AC2BDB" w:rsidRDefault="00AC2BDB"/>
        </w:tc>
        <w:tc>
          <w:tcPr>
            <w:tcW w:w="1432" w:type="dxa"/>
          </w:tcPr>
          <w:p w14:paraId="31D577C2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2576" w:type="dxa"/>
            <w:gridSpan w:val="2"/>
          </w:tcPr>
          <w:p w14:paraId="65600F7D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No es posibel aplicar medidas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313F0939" w14:textId="77777777" w:rsidR="00AC2BDB" w:rsidRDefault="00265A8C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AC2BDB" w14:paraId="3AFCAF82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0ABCA7B5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027A777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2F46BABF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No es necesario aplicar medidas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4776FE0A" w14:textId="1B4114A2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AC2BDB" w14:paraId="21126201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0AE5DAF5" w14:textId="77777777" w:rsidR="00AC2BDB" w:rsidRDefault="00AC2BDB"/>
        </w:tc>
        <w:tc>
          <w:tcPr>
            <w:tcW w:w="1432" w:type="dxa"/>
          </w:tcPr>
          <w:p w14:paraId="2F0D9C7B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76" w:type="dxa"/>
            <w:gridSpan w:val="2"/>
          </w:tcPr>
          <w:p w14:paraId="3838EC5B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Presentación en sesión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7AD03872" w14:textId="521C52B7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AC2BDB" w14:paraId="4D650CC8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59468C1D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027A26E1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23324042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Alerta en Boletín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9D7F87F" w14:textId="00721C26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AC2BDB" w14:paraId="099A92F8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38A83D08" w14:textId="77777777" w:rsidR="00AC2BDB" w:rsidRDefault="00AC2BDB"/>
        </w:tc>
        <w:tc>
          <w:tcPr>
            <w:tcW w:w="1432" w:type="dxa"/>
          </w:tcPr>
          <w:p w14:paraId="293A36B9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76" w:type="dxa"/>
            <w:gridSpan w:val="2"/>
          </w:tcPr>
          <w:p w14:paraId="39521061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Alerta inmediata (email, verbal..)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1C4B236B" w14:textId="2725330C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AC2BDB" w14:paraId="062424AA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0A04F86F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7BBB609C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5E7639E8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Reunión/Comunicación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8984F39" w14:textId="5A9ACE23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AC2BDB" w14:paraId="2664DCDA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339F310D" w14:textId="77777777" w:rsidR="00AC2BDB" w:rsidRDefault="00AC2BDB"/>
        </w:tc>
        <w:tc>
          <w:tcPr>
            <w:tcW w:w="1432" w:type="dxa"/>
          </w:tcPr>
          <w:p w14:paraId="7D298866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76" w:type="dxa"/>
            <w:gridSpan w:val="2"/>
          </w:tcPr>
          <w:p w14:paraId="3D62B89A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Desarrollo de protocolo nuevo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0F50B60D" w14:textId="3F4E361D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AC2BDB" w14:paraId="41D3E84F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06795FA8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795755F1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2688FB4F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Modificación de protocolo previo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01DC9CE" w14:textId="383B1980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AC2BDB" w14:paraId="6E1B23B5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7983FDEE" w14:textId="77777777" w:rsidR="00AC2BDB" w:rsidRDefault="00AC2BDB"/>
        </w:tc>
        <w:tc>
          <w:tcPr>
            <w:tcW w:w="1432" w:type="dxa"/>
          </w:tcPr>
          <w:p w14:paraId="57B18E7E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576" w:type="dxa"/>
            <w:gridSpan w:val="2"/>
          </w:tcPr>
          <w:p w14:paraId="51B45B81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Compra material nuevo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0F2734A4" w14:textId="22478CA1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C2BDB" w14:paraId="5A7F7C22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2235D66F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06702796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17AB4F01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Cambio de proveedor/material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2202A4F8" w14:textId="2253070A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AC2BDB" w14:paraId="604E2AFA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67CA0D79" w14:textId="77777777" w:rsidR="00AC2BDB" w:rsidRDefault="00AC2BDB"/>
        </w:tc>
        <w:tc>
          <w:tcPr>
            <w:tcW w:w="1432" w:type="dxa"/>
          </w:tcPr>
          <w:p w14:paraId="4D73D517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576" w:type="dxa"/>
            <w:gridSpan w:val="2"/>
          </w:tcPr>
          <w:p w14:paraId="6FC2B00A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Cambio en la organización física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1AE863ED" w14:textId="04B977BE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AC2BDB" w14:paraId="57AE7BA9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31D39548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1D12CA8B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74F0F2BC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Revisión Técnica equipamiento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A9D17FF" w14:textId="00CBAE8A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AC2BDB" w14:paraId="3DF780BE" w14:textId="77777777">
        <w:trPr>
          <w:trHeight w:val="379"/>
        </w:trPr>
        <w:tc>
          <w:tcPr>
            <w:tcW w:w="3085" w:type="dxa"/>
            <w:vMerge/>
            <w:tcBorders>
              <w:left w:val="single" w:sz="8" w:space="0" w:color="00FFFF"/>
            </w:tcBorders>
          </w:tcPr>
          <w:p w14:paraId="5BCADD0E" w14:textId="77777777" w:rsidR="00AC2BDB" w:rsidRDefault="00AC2BDB"/>
        </w:tc>
        <w:tc>
          <w:tcPr>
            <w:tcW w:w="1432" w:type="dxa"/>
          </w:tcPr>
          <w:p w14:paraId="108F5A0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576" w:type="dxa"/>
            <w:gridSpan w:val="2"/>
          </w:tcPr>
          <w:p w14:paraId="667E50C7" w14:textId="3A827967" w:rsidR="00AC2BDB" w:rsidRDefault="00265A8C">
            <w:pPr>
              <w:snapToGrid w:val="0"/>
              <w:spacing w:line="276" w:lineRule="auto"/>
              <w:jc w:val="both"/>
            </w:pPr>
            <w:r>
              <w:t>Consulta a prove</w:t>
            </w:r>
            <w:r w:rsidR="00180651">
              <w:t>edor</w:t>
            </w:r>
          </w:p>
        </w:tc>
        <w:tc>
          <w:tcPr>
            <w:tcW w:w="1641" w:type="dxa"/>
            <w:tcBorders>
              <w:right w:val="single" w:sz="8" w:space="0" w:color="00FFFF"/>
            </w:tcBorders>
          </w:tcPr>
          <w:p w14:paraId="16EDDB01" w14:textId="3ACA1BD4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AC2BDB" w14:paraId="7CF82725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5B12C885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7AA38BCD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6F37307B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Prueba de formación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34BC603" w14:textId="238E8DE2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AC2BDB" w14:paraId="3358EC72" w14:textId="77777777">
        <w:trPr>
          <w:trHeight w:val="379"/>
        </w:trPr>
        <w:tc>
          <w:tcPr>
            <w:tcW w:w="308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5702B046" w14:textId="77777777" w:rsidR="00AC2BDB" w:rsidRDefault="00AC2BDB"/>
        </w:tc>
        <w:tc>
          <w:tcPr>
            <w:tcW w:w="1432" w:type="dxa"/>
            <w:tcBorders>
              <w:top w:val="single" w:sz="8" w:space="0" w:color="00FFFF"/>
              <w:bottom w:val="single" w:sz="8" w:space="0" w:color="00FFFF"/>
            </w:tcBorders>
          </w:tcPr>
          <w:p w14:paraId="1D3154C2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576" w:type="dxa"/>
            <w:gridSpan w:val="2"/>
            <w:tcBorders>
              <w:top w:val="single" w:sz="8" w:space="0" w:color="00FFFF"/>
              <w:bottom w:val="single" w:sz="8" w:space="0" w:color="00FFFF"/>
            </w:tcBorders>
          </w:tcPr>
          <w:p w14:paraId="088D5C77" w14:textId="77777777" w:rsidR="00AC2BDB" w:rsidRDefault="00265A8C">
            <w:pPr>
              <w:snapToGrid w:val="0"/>
              <w:spacing w:line="276" w:lineRule="auto"/>
              <w:jc w:val="both"/>
            </w:pPr>
            <w:r>
              <w:t>Retirada de material o medicamento peligroso</w:t>
            </w:r>
          </w:p>
        </w:tc>
        <w:tc>
          <w:tcPr>
            <w:tcW w:w="1641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220E75F" w14:textId="44DAD06C" w:rsidR="00AC2BDB" w:rsidRDefault="00180651">
            <w:pPr>
              <w:snapToGrid w:val="0"/>
              <w:spacing w:line="276" w:lineRule="auto"/>
              <w:ind w:left="39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AC2BDB" w14:paraId="1CFB29F0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7573AF72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Nº medidas finalizadas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721EA70A" w14:textId="325DD720" w:rsidR="00AC2BDB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 de las 58 medidas propuestas</w:t>
            </w:r>
          </w:p>
        </w:tc>
      </w:tr>
      <w:tr w:rsidR="00AC2BDB" w14:paraId="3DA0E93D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6A84A70A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Sesiones de comunicación al Servicio sobre resultados de SENSAR 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46FEF9FC" w14:textId="77777777" w:rsidR="00AC2BDB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 4 al año (son trimestrales).</w:t>
            </w:r>
          </w:p>
          <w:p w14:paraId="7E091614" w14:textId="172EDF8B" w:rsidR="00180651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 existe alguna alerta inmediata, se hace sesión extraordinaria de comunicación al servicio con las medidas tomadas</w:t>
            </w:r>
          </w:p>
        </w:tc>
      </w:tr>
      <w:tr w:rsidR="00AC2BDB" w14:paraId="4E09C216" w14:textId="77777777">
        <w:tc>
          <w:tcPr>
            <w:tcW w:w="3085" w:type="dxa"/>
            <w:tcBorders>
              <w:left w:val="single" w:sz="8" w:space="0" w:color="00FFFF"/>
            </w:tcBorders>
          </w:tcPr>
          <w:p w14:paraId="61209942" w14:textId="3EC9227F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Otras sesiones/ponencias</w:t>
            </w: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77739517" w14:textId="77777777" w:rsidR="00AC2BDB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CURSO SEGURIDAD DEL PACIENTE EN ANESTESIOLOGÍA, impartido por dos de las analizadoras SENSAR (Dra. Isabel Casado Campo y Dra. Susana Postigo Morales).  Se realizó los días 29 y 30 de enero de 2014 y, una convocatoria posterior los días 5 y 6 de febrero de 2014.  Este curso está acreditado por el Consejo Vasco de Formación Continuada de las Profesiones Sanitarias con 1,5 créditos.</w:t>
            </w:r>
          </w:p>
          <w:p w14:paraId="1E277019" w14:textId="77777777" w:rsidR="00180651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JORNADAS “SIMULACIÓN DE SEGURIDAD DEL PACIENTE”, realizadas los días 27 y 28 de marzo de 2014, con dos analizadoras SENSAR como docentes (Dra. Isabel Casado Campo y Dra. Susana Postigo Morales). Acreditado con 1 crédito por el Consejo Vasco de Formación Continuada de las Profesiones Sanitarias.</w:t>
            </w:r>
          </w:p>
          <w:p w14:paraId="08920DA3" w14:textId="77777777" w:rsidR="00180651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Sesión de docencia a enfermería del área quirúrgica “Seguridad del Paciente y SENSAR”.</w:t>
            </w:r>
          </w:p>
          <w:p w14:paraId="3AA4597C" w14:textId="217109CF" w:rsidR="00180651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2BDB" w14:paraId="4658E22B" w14:textId="77777777">
        <w:tc>
          <w:tcPr>
            <w:tcW w:w="30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14:paraId="6767B03D" w14:textId="6621EBF9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Otras herramientas de seguridad empleadas</w:t>
            </w:r>
          </w:p>
        </w:tc>
        <w:tc>
          <w:tcPr>
            <w:tcW w:w="5649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FE103BB" w14:textId="187A853D" w:rsidR="00AC2BDB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Contacto continuo con la Comisión de Seguridad del Hospital</w:t>
            </w:r>
          </w:p>
        </w:tc>
      </w:tr>
      <w:tr w:rsidR="00AC2BDB" w14:paraId="0DABF30B" w14:textId="77777777" w:rsidTr="00180651">
        <w:tc>
          <w:tcPr>
            <w:tcW w:w="3085" w:type="dxa"/>
            <w:tcBorders>
              <w:left w:val="single" w:sz="8" w:space="0" w:color="00FFFF"/>
            </w:tcBorders>
          </w:tcPr>
          <w:p w14:paraId="5AE95F2A" w14:textId="77777777" w:rsidR="00AC2BDB" w:rsidRDefault="00265A8C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Comentarios y/o Resumen:</w:t>
            </w:r>
          </w:p>
          <w:p w14:paraId="45F4BC67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58EC95B5" w14:textId="77777777" w:rsidR="00AC2BDB" w:rsidRDefault="00AC2BDB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649" w:type="dxa"/>
            <w:gridSpan w:val="4"/>
            <w:tcBorders>
              <w:right w:val="single" w:sz="8" w:space="0" w:color="00FFFF"/>
            </w:tcBorders>
          </w:tcPr>
          <w:p w14:paraId="07473D51" w14:textId="0A6D5A8D" w:rsidR="00F4338E" w:rsidRDefault="00180651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 w:rsidRPr="00180651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Estamos trabajando en “Avanzando en Seguridad del paciente: Declaración de Helsinki”, apoyándonos en el monográfico REDAR de junio de 2013 y adaptándolo a nuestro servicio</w:t>
            </w:r>
            <w:r w:rsidR="00F4338E">
              <w:rPr>
                <w:rFonts w:ascii="Cambria" w:hAnsi="Cambria"/>
              </w:rPr>
              <w:t>.  Actualmente hemos elaborado/modificado los protocolos de HIPERTERMIA MALIGNA, ANAFILAXIA Y TOXICIDAD POR ANESTESICOS LOCALES.</w:t>
            </w:r>
          </w:p>
          <w:p w14:paraId="2037777D" w14:textId="20243793" w:rsidR="00F4338E" w:rsidRDefault="00F4338E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encuentran en proceso de finalización el resto de los protocolos.</w:t>
            </w:r>
          </w:p>
          <w:p w14:paraId="2874B415" w14:textId="74C5C655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 w:rsidRPr="00F4338E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Además del desarrollo de los protocolos promulgados por la Declaración de Helsinki, se revisaron el resto de los puntos:</w:t>
            </w:r>
          </w:p>
          <w:p w14:paraId="625699FF" w14:textId="349D48C0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Monitorización recomendada en quirófanos y áreas de recuperación.</w:t>
            </w:r>
          </w:p>
          <w:p w14:paraId="600621FF" w14:textId="64C7D130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Aumentar la adherencia a la lista de verificación quirúrgica, especialemnte a través de la formación de la enfermería del área quirúrgica y al propio servicio de anestesiología.</w:t>
            </w:r>
          </w:p>
          <w:p w14:paraId="60B1102E" w14:textId="1E569CC0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Revisión de los estándares de sedación en nuestra práctica habitual</w:t>
            </w:r>
          </w:p>
          <w:p w14:paraId="7BC8242C" w14:textId="0D2941E3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Pendiente de realizar el informe anual sobre mortalidad y mortalidad en nuestro servicio (en breve dispondremos de él).</w:t>
            </w:r>
          </w:p>
          <w:p w14:paraId="10FCAC3F" w14:textId="55E5A8C2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Elaboración de un informe anual a mode de resumen de incidentes SENSAR del año 2014, con las medidas tomadas y los resultados obtenidos en la mejora de la seguridad del paciente en nuestro Servicio.</w:t>
            </w:r>
          </w:p>
          <w:p w14:paraId="6687FC42" w14:textId="16484488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Curso anual de Seguridad del Paciente teórico-práctico, inicidiendo sobre todo en el manejo de eventos críticos y que es obligatorio de realizar por nuestros residentes.</w:t>
            </w:r>
          </w:p>
          <w:p w14:paraId="6D79D0E6" w14:textId="40F2BE7D" w:rsid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Dos de nuestras analizadoras (Dra. Isabel Casado Campo y Dra. Susana Postigo Morales) realizaron el curso de Seguridad del Paciente en Anestesiología” impartido por SENSAR en Octubre de 2013, incluyendo la jornada del Hospital de Valdecilla.</w:t>
            </w:r>
          </w:p>
          <w:p w14:paraId="3B82A6DD" w14:textId="4DCE3424" w:rsidR="00F4338E" w:rsidRPr="00F4338E" w:rsidRDefault="00F4338E" w:rsidP="00F4338E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 Iniciamos las Rondas de Seguridad en Reanimación.</w:t>
            </w:r>
          </w:p>
          <w:p w14:paraId="37E56892" w14:textId="77777777" w:rsidR="00180651" w:rsidRDefault="00180651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  <w:p w14:paraId="073815E0" w14:textId="54AB27C6" w:rsidR="00180651" w:rsidRPr="00180651" w:rsidRDefault="00180651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180651" w14:paraId="1ED6F799" w14:textId="77777777">
        <w:tc>
          <w:tcPr>
            <w:tcW w:w="3085" w:type="dxa"/>
            <w:tcBorders>
              <w:left w:val="single" w:sz="8" w:space="0" w:color="00FFFF"/>
              <w:bottom w:val="single" w:sz="8" w:space="0" w:color="00FFFF"/>
            </w:tcBorders>
          </w:tcPr>
          <w:p w14:paraId="486DFFB0" w14:textId="1E4843E1" w:rsidR="00180651" w:rsidRDefault="00180651">
            <w:pPr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649" w:type="dxa"/>
            <w:gridSpan w:val="4"/>
            <w:tcBorders>
              <w:bottom w:val="single" w:sz="8" w:space="0" w:color="00FFFF"/>
              <w:right w:val="single" w:sz="8" w:space="0" w:color="00FFFF"/>
            </w:tcBorders>
          </w:tcPr>
          <w:p w14:paraId="3EF6D85B" w14:textId="77777777" w:rsidR="00180651" w:rsidRPr="00180651" w:rsidRDefault="00180651" w:rsidP="00180651">
            <w:pPr>
              <w:snapToGrid w:val="0"/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1897971C" w14:textId="3A926FB4" w:rsidR="004D2134" w:rsidRDefault="004D2134">
      <w:pPr>
        <w:autoSpaceDE w:val="0"/>
        <w:spacing w:after="291"/>
        <w:jc w:val="both"/>
      </w:pPr>
    </w:p>
    <w:sectPr w:rsidR="004D213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0" w:h="16837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5D75" w14:textId="77777777" w:rsidR="00770D46" w:rsidRDefault="00770D46">
      <w:r>
        <w:separator/>
      </w:r>
    </w:p>
  </w:endnote>
  <w:endnote w:type="continuationSeparator" w:id="0">
    <w:p w14:paraId="44DD2FD0" w14:textId="77777777" w:rsidR="00770D46" w:rsidRDefault="0077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CB62" w14:textId="77777777" w:rsidR="00AC2BDB" w:rsidRDefault="004D2134">
    <w:pPr>
      <w:pStyle w:val="Piedepgina"/>
      <w:ind w:right="360"/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7666C1C9" wp14:editId="5F2522AB">
              <wp:simplePos x="0" y="0"/>
              <wp:positionH relativeFrom="page">
                <wp:posOffset>6399530</wp:posOffset>
              </wp:positionH>
              <wp:positionV relativeFrom="paragraph">
                <wp:posOffset>635</wp:posOffset>
              </wp:positionV>
              <wp:extent cx="76200" cy="174625"/>
              <wp:effectExtent l="0" t="635" r="127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FF4A1" w14:textId="77777777" w:rsidR="00AC2BDB" w:rsidRDefault="00265A8C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C0F6B"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66C1C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503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" stroked="f">
              <v:fill opacity="0"/>
              <v:textbox inset="0,0,0,0">
                <w:txbxContent>
                  <w:p w14:paraId="2EAFF4A1" w14:textId="77777777" w:rsidR="00AC2BDB" w:rsidRDefault="00265A8C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45225"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F78A" w14:textId="77777777" w:rsidR="00AC2BDB" w:rsidRDefault="00AC2BD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7494" w14:textId="77777777" w:rsidR="00770D46" w:rsidRDefault="00770D46">
      <w:r>
        <w:separator/>
      </w:r>
    </w:p>
  </w:footnote>
  <w:footnote w:type="continuationSeparator" w:id="0">
    <w:p w14:paraId="53FAF6AD" w14:textId="77777777" w:rsidR="00770D46" w:rsidRDefault="00770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9033" w14:textId="77777777" w:rsidR="00AC2BDB" w:rsidRDefault="004D2134">
    <w:pPr>
      <w:pStyle w:val="Encabezado"/>
    </w:pPr>
    <w:r>
      <w:drawing>
        <wp:inline distT="0" distB="0" distL="0" distR="0" wp14:anchorId="3B51F2B2" wp14:editId="51D869FC">
          <wp:extent cx="5397500" cy="355600"/>
          <wp:effectExtent l="0" t="0" r="1270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6" t="37447" r="18488" b="57384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35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E284" w14:textId="77777777" w:rsidR="00AC2BDB" w:rsidRDefault="00AC2BD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4"/>
    <w:rsid w:val="000C0F6B"/>
    <w:rsid w:val="00180651"/>
    <w:rsid w:val="00265A8C"/>
    <w:rsid w:val="0028380D"/>
    <w:rsid w:val="004D2134"/>
    <w:rsid w:val="00592912"/>
    <w:rsid w:val="00645225"/>
    <w:rsid w:val="00770D46"/>
    <w:rsid w:val="009D111F"/>
    <w:rsid w:val="00AC2BDB"/>
    <w:rsid w:val="00BF3357"/>
    <w:rsid w:val="00CC0670"/>
    <w:rsid w:val="00F4338E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D72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Cambria"/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Ttulo2Car">
    <w:name w:val="Título 2 Car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styleId="Hipervnculo">
    <w:name w:val="Hyperlink"/>
    <w:semiHidden/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extodegloboCar">
    <w:name w:val="Texto de globo Car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PiedepginaCar">
    <w:name w:val="Pie de página Car"/>
  </w:style>
  <w:style w:type="character" w:styleId="Nmerodepgina">
    <w:name w:val="page number"/>
    <w:basedOn w:val="Fuentedeprrafopredeter1"/>
    <w:semiHidden/>
  </w:style>
  <w:style w:type="character" w:customStyle="1" w:styleId="EncabezadoCar">
    <w:name w:val="Encabezado Car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semiHidden/>
  </w:style>
  <w:style w:type="paragraph" w:styleId="Encabezado">
    <w:name w:val="head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decuerpo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Cambria"/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Ttulo2Car">
    <w:name w:val="Título 2 Car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styleId="Hipervnculo">
    <w:name w:val="Hyperlink"/>
    <w:semiHidden/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extodegloboCar">
    <w:name w:val="Texto de globo Car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PiedepginaCar">
    <w:name w:val="Pie de página Car"/>
  </w:style>
  <w:style w:type="character" w:styleId="Nmerodepgina">
    <w:name w:val="page number"/>
    <w:basedOn w:val="Fuentedeprrafopredeter1"/>
    <w:semiHidden/>
  </w:style>
  <w:style w:type="character" w:customStyle="1" w:styleId="EncabezadoCar">
    <w:name w:val="Encabezado Car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semiHidden/>
  </w:style>
  <w:style w:type="paragraph" w:styleId="Encabezado">
    <w:name w:val="head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decuerp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4191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Memoria Anual de Medidas Adoptadas en 2014</vt:lpstr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García Sánchez</dc:creator>
  <cp:keywords/>
  <cp:lastModifiedBy>MJ García Sánchez</cp:lastModifiedBy>
  <cp:revision>2</cp:revision>
  <cp:lastPrinted>2014-03-06T18:39:00Z</cp:lastPrinted>
  <dcterms:created xsi:type="dcterms:W3CDTF">2015-10-18T17:16:00Z</dcterms:created>
  <dcterms:modified xsi:type="dcterms:W3CDTF">2015-10-18T17:16:00Z</dcterms:modified>
</cp:coreProperties>
</file>